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F5F" w:rsidRDefault="00E66F5F" w:rsidP="00E66F5F">
      <w:pPr>
        <w:jc w:val="center"/>
        <w:rPr>
          <w:rFonts w:ascii="Segoe" w:hAnsi="Segoe" w:cs="Segoe UI"/>
        </w:rPr>
      </w:pPr>
      <w:r w:rsidRPr="00E66F5F">
        <w:rPr>
          <w:rFonts w:ascii="Segoe" w:hAnsi="Segoe" w:cs="Segoe UI"/>
        </w:rPr>
        <w:t>YOHAKU</w:t>
      </w:r>
    </w:p>
    <w:p w:rsidR="00E66F5F" w:rsidRPr="00E66F5F" w:rsidRDefault="00E66F5F" w:rsidP="00E66F5F">
      <w:pPr>
        <w:jc w:val="center"/>
        <w:rPr>
          <w:rFonts w:ascii="Segoe" w:hAnsi="Segoe" w:cs="Segoe UI"/>
        </w:rPr>
      </w:pPr>
    </w:p>
    <w:p w:rsidR="00E66F5F" w:rsidRPr="00E66F5F" w:rsidRDefault="00E66F5F" w:rsidP="00BF4A4D">
      <w:pPr>
        <w:jc w:val="both"/>
        <w:rPr>
          <w:rFonts w:ascii="Segoe" w:hAnsi="Segoe" w:cs="Segoe UI"/>
        </w:rPr>
      </w:pPr>
    </w:p>
    <w:p w:rsidR="00BF4A4D" w:rsidRPr="00E66F5F" w:rsidRDefault="00BF4A4D" w:rsidP="00BF4A4D">
      <w:pPr>
        <w:jc w:val="both"/>
        <w:rPr>
          <w:rFonts w:ascii="Segoe" w:hAnsi="Segoe" w:cs="Segoe UI"/>
        </w:rPr>
      </w:pPr>
      <w:r w:rsidRPr="00E66F5F">
        <w:rPr>
          <w:rFonts w:ascii="Segoe" w:hAnsi="Segoe" w:cs="Segoe UI"/>
        </w:rPr>
        <w:t xml:space="preserve">La obra de </w:t>
      </w:r>
      <w:r w:rsidRPr="00E66F5F">
        <w:rPr>
          <w:rFonts w:ascii="Segoe" w:hAnsi="Segoe" w:cs="Segoe UI"/>
          <w:b/>
        </w:rPr>
        <w:t>Teruhiro Ando</w:t>
      </w:r>
      <w:r w:rsidRPr="00E66F5F">
        <w:rPr>
          <w:rFonts w:ascii="Segoe" w:hAnsi="Segoe" w:cs="Segoe UI"/>
        </w:rPr>
        <w:t xml:space="preserve"> se aparta por completo de definiciones, y para hablar de ella debemos establecer el diálogo como si de un </w:t>
      </w:r>
      <w:proofErr w:type="spellStart"/>
      <w:r w:rsidRPr="00E66F5F">
        <w:rPr>
          <w:rFonts w:ascii="Segoe" w:hAnsi="Segoe" w:cs="Segoe UI"/>
          <w:i/>
          <w:iCs/>
        </w:rPr>
        <w:t>Trompel’oeil</w:t>
      </w:r>
      <w:proofErr w:type="spellEnd"/>
      <w:r w:rsidRPr="00E66F5F">
        <w:rPr>
          <w:rFonts w:ascii="Segoe" w:hAnsi="Segoe" w:cs="Segoe UI"/>
          <w:i/>
          <w:iCs/>
        </w:rPr>
        <w:t xml:space="preserve"> </w:t>
      </w:r>
      <w:r w:rsidRPr="00E66F5F">
        <w:rPr>
          <w:rFonts w:ascii="Segoe" w:hAnsi="Segoe" w:cs="Segoe UI"/>
        </w:rPr>
        <w:t xml:space="preserve">Se tratara. </w:t>
      </w:r>
      <w:proofErr w:type="spellStart"/>
      <w:r w:rsidRPr="00E66F5F">
        <w:rPr>
          <w:rFonts w:ascii="Segoe" w:hAnsi="Segoe" w:cs="Segoe UI"/>
          <w:i/>
          <w:iCs/>
        </w:rPr>
        <w:t>Trompel’oeil</w:t>
      </w:r>
      <w:proofErr w:type="spellEnd"/>
      <w:r w:rsidRPr="00E66F5F">
        <w:rPr>
          <w:rFonts w:ascii="Segoe" w:hAnsi="Segoe" w:cs="Segoe UI"/>
          <w:i/>
          <w:iCs/>
        </w:rPr>
        <w:t xml:space="preserve"> </w:t>
      </w:r>
      <w:r w:rsidRPr="00E66F5F">
        <w:rPr>
          <w:rFonts w:ascii="Segoe" w:hAnsi="Segoe" w:cs="Segoe UI"/>
        </w:rPr>
        <w:t xml:space="preserve">en el que mediante una sutil estructura volumétrica consigue crear otros planos pictóricos donde tiene lugar ese "engaño del ojo" apareciendo representado el alféizar de una ventana en el que se sitúa el objeto como protagonista corpóreo, porque el resto es ese espacio casi inmaculado, delicadamente sugerido, vacío. En ese espacio blanco el vacío se entiende como </w:t>
      </w:r>
      <w:proofErr w:type="spellStart"/>
      <w:r w:rsidRPr="00E66F5F">
        <w:rPr>
          <w:rFonts w:ascii="Segoe" w:hAnsi="Segoe" w:cs="Segoe UI"/>
          <w:b/>
        </w:rPr>
        <w:t>yohaku</w:t>
      </w:r>
      <w:proofErr w:type="spellEnd"/>
      <w:r w:rsidRPr="00E66F5F">
        <w:rPr>
          <w:rFonts w:ascii="Segoe" w:hAnsi="Segoe" w:cs="Segoe UI"/>
        </w:rPr>
        <w:t xml:space="preserve">, que corresponde al espacio donde no hay forma pero en el que paradójicamente se genera toda forma. En ese "casi" no representar el espacio se genera todo el misterio, toda su capacidad evocadora. Sin duda, a </w:t>
      </w:r>
      <w:r w:rsidRPr="00E66F5F">
        <w:rPr>
          <w:rFonts w:ascii="Segoe" w:hAnsi="Segoe" w:cs="Segoe UI"/>
          <w:b/>
        </w:rPr>
        <w:t>Teruhiro</w:t>
      </w:r>
      <w:r w:rsidRPr="00E66F5F">
        <w:rPr>
          <w:rFonts w:ascii="Segoe" w:hAnsi="Segoe" w:cs="Segoe UI"/>
        </w:rPr>
        <w:t xml:space="preserve"> todo esto le resulta familiar; la palabra </w:t>
      </w:r>
      <w:proofErr w:type="spellStart"/>
      <w:r w:rsidRPr="00E66F5F">
        <w:rPr>
          <w:rFonts w:ascii="Segoe" w:hAnsi="Segoe" w:cs="Segoe UI"/>
          <w:i/>
          <w:iCs/>
        </w:rPr>
        <w:t>Ku</w:t>
      </w:r>
      <w:proofErr w:type="spellEnd"/>
      <w:r w:rsidRPr="00E66F5F">
        <w:rPr>
          <w:rFonts w:ascii="Segoe" w:hAnsi="Segoe" w:cs="Segoe UI"/>
          <w:i/>
          <w:iCs/>
        </w:rPr>
        <w:t xml:space="preserve"> </w:t>
      </w:r>
      <w:r w:rsidR="00E66F5F" w:rsidRPr="00E66F5F">
        <w:rPr>
          <w:rFonts w:ascii="Segoe" w:hAnsi="Segoe" w:cs="Segoe UI"/>
        </w:rPr>
        <w:t>está</w:t>
      </w:r>
      <w:r w:rsidRPr="00E66F5F">
        <w:rPr>
          <w:rFonts w:ascii="Segoe" w:hAnsi="Segoe" w:cs="Segoe UI"/>
        </w:rPr>
        <w:t xml:space="preserve"> relacionada con el término </w:t>
      </w:r>
      <w:proofErr w:type="spellStart"/>
      <w:r w:rsidRPr="00E66F5F">
        <w:rPr>
          <w:rFonts w:ascii="Segoe" w:hAnsi="Segoe" w:cs="Segoe UI"/>
          <w:i/>
          <w:iCs/>
        </w:rPr>
        <w:t>Shunya</w:t>
      </w:r>
      <w:proofErr w:type="spellEnd"/>
      <w:r w:rsidRPr="00E66F5F">
        <w:rPr>
          <w:rFonts w:ascii="Segoe" w:hAnsi="Segoe" w:cs="Segoe UI"/>
          <w:i/>
          <w:iCs/>
        </w:rPr>
        <w:t xml:space="preserve"> </w:t>
      </w:r>
      <w:r w:rsidRPr="00E66F5F">
        <w:rPr>
          <w:rFonts w:ascii="Segoe" w:hAnsi="Segoe" w:cs="Segoe UI"/>
        </w:rPr>
        <w:t xml:space="preserve">del sánscrito cuyos primeros fundamentos sobre el significado del término se encuentran en la escuela budista fundada en la India por el sabio </w:t>
      </w:r>
      <w:proofErr w:type="spellStart"/>
      <w:r w:rsidRPr="00E66F5F">
        <w:rPr>
          <w:rFonts w:ascii="Segoe" w:hAnsi="Segoe" w:cs="Segoe UI"/>
        </w:rPr>
        <w:t>Nagarjune</w:t>
      </w:r>
      <w:proofErr w:type="spellEnd"/>
      <w:r w:rsidRPr="00E66F5F">
        <w:rPr>
          <w:rFonts w:ascii="Segoe" w:hAnsi="Segoe" w:cs="Segoe UI"/>
        </w:rPr>
        <w:t xml:space="preserve"> en el siglo ll que descubrió la doctrina del vacío. </w:t>
      </w:r>
    </w:p>
    <w:p w:rsidR="00BF4A4D" w:rsidRPr="00E66F5F" w:rsidRDefault="00BF4A4D" w:rsidP="00BF4A4D">
      <w:pPr>
        <w:jc w:val="both"/>
        <w:rPr>
          <w:rFonts w:ascii="Segoe" w:hAnsi="Segoe" w:cs="Segoe UI"/>
        </w:rPr>
      </w:pPr>
      <w:r w:rsidRPr="00E66F5F">
        <w:rPr>
          <w:rFonts w:ascii="Segoe" w:hAnsi="Segoe" w:cs="Segoe UI"/>
        </w:rPr>
        <w:t xml:space="preserve">En Cualquier caso, nosotros no podemos sustraernos al recuerdo de </w:t>
      </w:r>
      <w:r w:rsidRPr="00E66F5F">
        <w:rPr>
          <w:rFonts w:ascii="Segoe" w:hAnsi="Segoe" w:cs="Segoe UI"/>
          <w:b/>
        </w:rPr>
        <w:t>Zurbarán</w:t>
      </w:r>
      <w:r w:rsidRPr="00E66F5F">
        <w:rPr>
          <w:rFonts w:ascii="Segoe" w:hAnsi="Segoe" w:cs="Segoe UI"/>
        </w:rPr>
        <w:t xml:space="preserve"> pues el misticismo del pintor extremeño informa y alimenta muchas cosas de esta obra. Como tampoco podemos olvidarnos del Bodegón del Cardo de </w:t>
      </w:r>
      <w:r w:rsidRPr="00E66F5F">
        <w:rPr>
          <w:rFonts w:ascii="Segoe" w:hAnsi="Segoe" w:cs="Segoe UI"/>
          <w:b/>
        </w:rPr>
        <w:t xml:space="preserve">Sánchez </w:t>
      </w:r>
      <w:proofErr w:type="spellStart"/>
      <w:r w:rsidRPr="00E66F5F">
        <w:rPr>
          <w:rFonts w:ascii="Segoe" w:hAnsi="Segoe" w:cs="Segoe UI"/>
          <w:b/>
        </w:rPr>
        <w:t>Cotán</w:t>
      </w:r>
      <w:proofErr w:type="spellEnd"/>
      <w:r w:rsidRPr="00E66F5F">
        <w:rPr>
          <w:rFonts w:ascii="Segoe" w:hAnsi="Segoe" w:cs="Segoe UI"/>
        </w:rPr>
        <w:t xml:space="preserve">, al situar Su objeto también en un alféizar como pretexto para definir el vacío y el silencio monacal. </w:t>
      </w:r>
    </w:p>
    <w:p w:rsidR="00BF4A4D" w:rsidRPr="00E66F5F" w:rsidRDefault="00BF4A4D" w:rsidP="00BF4A4D">
      <w:pPr>
        <w:rPr>
          <w:rFonts w:ascii="Segoe" w:hAnsi="Segoe"/>
          <w:b/>
          <w:bCs/>
        </w:rPr>
      </w:pPr>
    </w:p>
    <w:p w:rsidR="00BF4A4D" w:rsidRPr="00E66F5F" w:rsidRDefault="00BF4A4D" w:rsidP="00BF4A4D">
      <w:pPr>
        <w:spacing w:after="0"/>
        <w:rPr>
          <w:rFonts w:ascii="Segoe Semibold" w:hAnsi="Segoe Semibold" w:cs="Segoe UI"/>
          <w:sz w:val="20"/>
          <w:szCs w:val="20"/>
        </w:rPr>
      </w:pPr>
      <w:r w:rsidRPr="00E66F5F">
        <w:rPr>
          <w:rFonts w:ascii="Segoe Semibold" w:hAnsi="Segoe Semibold" w:cs="Segoe UI"/>
          <w:bCs/>
          <w:sz w:val="20"/>
          <w:szCs w:val="20"/>
        </w:rPr>
        <w:t xml:space="preserve">Manuel </w:t>
      </w:r>
      <w:proofErr w:type="spellStart"/>
      <w:r w:rsidRPr="00E66F5F">
        <w:rPr>
          <w:rFonts w:ascii="Segoe Semibold" w:hAnsi="Segoe Semibold" w:cs="Segoe UI"/>
          <w:bCs/>
          <w:sz w:val="20"/>
          <w:szCs w:val="20"/>
        </w:rPr>
        <w:t>Parralo</w:t>
      </w:r>
      <w:proofErr w:type="spellEnd"/>
      <w:r w:rsidRPr="00E66F5F">
        <w:rPr>
          <w:rFonts w:ascii="Segoe Semibold" w:hAnsi="Segoe Semibold" w:cs="Segoe UI"/>
          <w:bCs/>
          <w:sz w:val="20"/>
          <w:szCs w:val="20"/>
        </w:rPr>
        <w:t xml:space="preserve"> Dorado </w:t>
      </w:r>
    </w:p>
    <w:p w:rsidR="00BF4A4D" w:rsidRPr="00E66F5F" w:rsidRDefault="00BF4A4D" w:rsidP="00BF4A4D">
      <w:pPr>
        <w:spacing w:after="0"/>
        <w:rPr>
          <w:rFonts w:ascii="Segoe" w:hAnsi="Segoe" w:cs="Segoe UI"/>
          <w:i/>
          <w:sz w:val="16"/>
          <w:szCs w:val="16"/>
        </w:rPr>
      </w:pPr>
      <w:r w:rsidRPr="00E66F5F">
        <w:rPr>
          <w:rFonts w:ascii="Segoe" w:hAnsi="Segoe" w:cs="Segoe UI"/>
          <w:i/>
          <w:iCs/>
          <w:sz w:val="16"/>
          <w:szCs w:val="16"/>
        </w:rPr>
        <w:t xml:space="preserve">Decano de la Facultad de Bellas Artes </w:t>
      </w:r>
    </w:p>
    <w:p w:rsidR="00BF4A4D" w:rsidRPr="00E66F5F" w:rsidRDefault="00BF4A4D" w:rsidP="00BF4A4D">
      <w:pPr>
        <w:spacing w:after="0"/>
        <w:rPr>
          <w:rFonts w:ascii="Segoe" w:hAnsi="Segoe" w:cs="Segoe UI"/>
          <w:i/>
          <w:sz w:val="16"/>
          <w:szCs w:val="16"/>
        </w:rPr>
      </w:pPr>
      <w:r w:rsidRPr="00E66F5F">
        <w:rPr>
          <w:rFonts w:ascii="Segoe" w:hAnsi="Segoe" w:cs="Segoe UI"/>
          <w:i/>
          <w:iCs/>
          <w:sz w:val="16"/>
          <w:szCs w:val="16"/>
        </w:rPr>
        <w:t xml:space="preserve">Universidad Complutense de Madrid </w:t>
      </w:r>
      <w:bookmarkStart w:id="0" w:name="_GoBack"/>
      <w:bookmarkEnd w:id="0"/>
    </w:p>
    <w:p w:rsidR="00BD4BA5" w:rsidRPr="00E66F5F" w:rsidRDefault="00BF4A4D" w:rsidP="00BF4A4D">
      <w:pPr>
        <w:spacing w:after="0"/>
        <w:rPr>
          <w:rFonts w:ascii="Segoe" w:hAnsi="Segoe" w:cs="Segoe UI"/>
          <w:i/>
          <w:sz w:val="16"/>
          <w:szCs w:val="16"/>
        </w:rPr>
      </w:pPr>
      <w:r w:rsidRPr="00E66F5F">
        <w:rPr>
          <w:rFonts w:ascii="Segoe" w:hAnsi="Segoe" w:cs="Segoe UI"/>
          <w:i/>
          <w:sz w:val="16"/>
          <w:szCs w:val="16"/>
        </w:rPr>
        <w:t>Catalogo: XXIII Premio BMW de Pintura 2008</w:t>
      </w:r>
    </w:p>
    <w:sectPr w:rsidR="00BD4BA5" w:rsidRPr="00E66F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w:panose1 w:val="020B0502040200020203"/>
    <w:charset w:val="00"/>
    <w:family w:val="swiss"/>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Segoe Semibold">
    <w:panose1 w:val="020B0702040200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4D"/>
    <w:rsid w:val="00BD4BA5"/>
    <w:rsid w:val="00BF4A4D"/>
    <w:rsid w:val="00E66F5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3A095-4BE6-4DF7-BF5F-15ED6C05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236</Words>
  <Characters>1300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Teruhiro Ando</dc:creator>
  <cp:keywords/>
  <dc:description/>
  <cp:lastModifiedBy>Teruhiro Ando</cp:lastModifiedBy>
  <cp:revision>2</cp:revision>
  <dcterms:created xsi:type="dcterms:W3CDTF">2015-12-19T12:40:00Z</dcterms:created>
  <dcterms:modified xsi:type="dcterms:W3CDTF">2015-12-29T18:36:00Z</dcterms:modified>
</cp:coreProperties>
</file>